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5D1D51" w:rsidRPr="005D1D51">
        <w:rPr>
          <w:sz w:val="28"/>
          <w:szCs w:val="28"/>
        </w:rPr>
        <w:t>Kugeln ziehen</w:t>
      </w:r>
    </w:p>
    <w:p w:rsidR="00694A63" w:rsidRPr="00694A63" w:rsidRDefault="00694A63">
      <w:pPr>
        <w:pStyle w:val="IQB-Teilaufgabentitel"/>
        <w:rPr>
          <w:b/>
        </w:rPr>
      </w:pP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5D1D51" w:rsidRPr="00013049" w:rsidTr="005D1D51">
        <w:tc>
          <w:tcPr>
            <w:tcW w:w="2466" w:type="dxa"/>
            <w:vAlign w:val="center"/>
          </w:tcPr>
          <w:p w:rsidR="005D1D51" w:rsidRPr="00013049" w:rsidRDefault="005D1D51" w:rsidP="005C2F82">
            <w:pPr>
              <w:pStyle w:val="IQB-Merkmal"/>
              <w:rPr>
                <w:sz w:val="22"/>
              </w:rPr>
            </w:pPr>
            <w:r w:rsidRPr="00013049">
              <w:rPr>
                <w:sz w:val="22"/>
              </w:rPr>
              <w:t>Leitidee</w:t>
            </w:r>
          </w:p>
        </w:tc>
        <w:tc>
          <w:tcPr>
            <w:tcW w:w="6604" w:type="dxa"/>
          </w:tcPr>
          <w:p w:rsidR="005D1D51" w:rsidRPr="00013049" w:rsidRDefault="005D1D51" w:rsidP="005C2F82">
            <w:pPr>
              <w:pStyle w:val="IQB-Merkmalswert"/>
              <w:rPr>
                <w:sz w:val="22"/>
                <w:szCs w:val="22"/>
              </w:rPr>
            </w:pPr>
            <w:r w:rsidRPr="00013049">
              <w:rPr>
                <w:sz w:val="22"/>
                <w:szCs w:val="22"/>
              </w:rPr>
              <w:t>Daten und Zufall (L5)</w:t>
            </w:r>
          </w:p>
        </w:tc>
      </w:tr>
      <w:tr w:rsidR="005D1D51" w:rsidRPr="00013049" w:rsidTr="005D1D51">
        <w:tc>
          <w:tcPr>
            <w:tcW w:w="2466" w:type="dxa"/>
            <w:vAlign w:val="center"/>
          </w:tcPr>
          <w:p w:rsidR="005D1D51" w:rsidRPr="00013049" w:rsidRDefault="005D1D51" w:rsidP="005C2F82">
            <w:pPr>
              <w:pStyle w:val="IQB-Merkmal"/>
              <w:rPr>
                <w:sz w:val="22"/>
              </w:rPr>
            </w:pPr>
            <w:r w:rsidRPr="00013049">
              <w:rPr>
                <w:sz w:val="22"/>
              </w:rPr>
              <w:t>Allgemeine Komp</w:t>
            </w:r>
            <w:r w:rsidRPr="00013049">
              <w:rPr>
                <w:sz w:val="22"/>
              </w:rPr>
              <w:t>e</w:t>
            </w:r>
            <w:r w:rsidRPr="00013049">
              <w:rPr>
                <w:sz w:val="22"/>
              </w:rPr>
              <w:t>tenzen</w:t>
            </w:r>
          </w:p>
        </w:tc>
        <w:tc>
          <w:tcPr>
            <w:tcW w:w="6604" w:type="dxa"/>
          </w:tcPr>
          <w:p w:rsidR="005D1D51" w:rsidRPr="00013049" w:rsidRDefault="005D1D51" w:rsidP="005C2F82">
            <w:pPr>
              <w:pStyle w:val="IQB-Merkmalswert"/>
              <w:rPr>
                <w:sz w:val="22"/>
                <w:szCs w:val="22"/>
              </w:rPr>
            </w:pPr>
            <w:r w:rsidRPr="00013049">
              <w:rPr>
                <w:sz w:val="22"/>
                <w:szCs w:val="22"/>
              </w:rPr>
              <w:t>Probleme mathematisch lösen (K2)</w:t>
            </w:r>
          </w:p>
        </w:tc>
      </w:tr>
      <w:tr w:rsidR="005D1D51" w:rsidRPr="00013049" w:rsidTr="005D1D51">
        <w:tc>
          <w:tcPr>
            <w:tcW w:w="2466" w:type="dxa"/>
            <w:vAlign w:val="center"/>
          </w:tcPr>
          <w:p w:rsidR="005D1D51" w:rsidRPr="00013049" w:rsidRDefault="005D1D51" w:rsidP="005C2F82">
            <w:pPr>
              <w:pStyle w:val="IQB-Merkmal"/>
              <w:rPr>
                <w:sz w:val="22"/>
              </w:rPr>
            </w:pPr>
            <w:r w:rsidRPr="00013049">
              <w:rPr>
                <w:sz w:val="22"/>
              </w:rPr>
              <w:t>Anforderungsbereich</w:t>
            </w:r>
          </w:p>
        </w:tc>
        <w:tc>
          <w:tcPr>
            <w:tcW w:w="6604" w:type="dxa"/>
          </w:tcPr>
          <w:p w:rsidR="005D1D51" w:rsidRPr="00013049" w:rsidRDefault="005D1D51" w:rsidP="005C2F82">
            <w:pPr>
              <w:pStyle w:val="IQB-Merkmalswert"/>
              <w:rPr>
                <w:sz w:val="22"/>
                <w:szCs w:val="22"/>
              </w:rPr>
            </w:pPr>
            <w:r w:rsidRPr="00013049">
              <w:rPr>
                <w:sz w:val="22"/>
                <w:szCs w:val="22"/>
              </w:rPr>
              <w:t>III</w:t>
            </w:r>
          </w:p>
        </w:tc>
      </w:tr>
      <w:tr w:rsidR="005D1D51" w:rsidRPr="00013049" w:rsidTr="005D1D51">
        <w:tc>
          <w:tcPr>
            <w:tcW w:w="2466" w:type="dxa"/>
            <w:vAlign w:val="center"/>
          </w:tcPr>
          <w:p w:rsidR="005D1D51" w:rsidRPr="00013049" w:rsidRDefault="005D1D51" w:rsidP="005C2F82">
            <w:pPr>
              <w:pStyle w:val="IQB-Merkmal"/>
              <w:rPr>
                <w:sz w:val="22"/>
              </w:rPr>
            </w:pPr>
            <w:r w:rsidRPr="00013049">
              <w:rPr>
                <w:sz w:val="22"/>
              </w:rPr>
              <w:t>Kompetenzstufe</w:t>
            </w:r>
          </w:p>
        </w:tc>
        <w:tc>
          <w:tcPr>
            <w:tcW w:w="6604" w:type="dxa"/>
          </w:tcPr>
          <w:p w:rsidR="005D1D51" w:rsidRPr="00013049" w:rsidRDefault="005D1D51" w:rsidP="005C2F82">
            <w:pPr>
              <w:pStyle w:val="IQB-Merkmalswert"/>
              <w:rPr>
                <w:sz w:val="22"/>
                <w:szCs w:val="22"/>
              </w:rPr>
            </w:pPr>
            <w:r w:rsidRPr="00013049">
              <w:rPr>
                <w:sz w:val="22"/>
                <w:szCs w:val="22"/>
              </w:rPr>
              <w:t>4</w:t>
            </w:r>
          </w:p>
        </w:tc>
      </w:tr>
    </w:tbl>
    <w:p w:rsidR="00694A63" w:rsidRPr="00694A63" w:rsidRDefault="00694A63" w:rsidP="00694A63">
      <w:pPr>
        <w:pStyle w:val="IQB-Teilaufgabentitel"/>
        <w:rPr>
          <w:b/>
        </w:rPr>
      </w:pPr>
      <w:r w:rsidRPr="00694A63">
        <w:rPr>
          <w:b/>
        </w:rPr>
        <w:t>Aufgabenbezogener Kommentar</w:t>
      </w:r>
    </w:p>
    <w:p w:rsidR="005D1D51" w:rsidRPr="005D1D51" w:rsidRDefault="005D1D51" w:rsidP="005D1D51">
      <w:pPr>
        <w:jc w:val="both"/>
        <w:rPr>
          <w:rFonts w:ascii="Arial" w:hAnsi="Arial"/>
          <w:sz w:val="22"/>
          <w:szCs w:val="22"/>
        </w:rPr>
      </w:pPr>
      <w:r w:rsidRPr="005D1D51">
        <w:rPr>
          <w:rFonts w:ascii="Arial" w:hAnsi="Arial"/>
          <w:sz w:val="22"/>
          <w:szCs w:val="22"/>
        </w:rPr>
        <w:t xml:space="preserve">Diese Aufgabe behandelt ein in der Wahrscheinlichkeitsrechnung typisches Urnenmodell. Daher wird die Aufgabe der Leitidee </w:t>
      </w:r>
      <w:r w:rsidRPr="005D1D51">
        <w:rPr>
          <w:rFonts w:ascii="Arial" w:hAnsi="Arial"/>
          <w:i/>
          <w:sz w:val="22"/>
          <w:szCs w:val="22"/>
        </w:rPr>
        <w:t>Daten und Zufall</w:t>
      </w:r>
      <w:r w:rsidRPr="005D1D51">
        <w:rPr>
          <w:rFonts w:ascii="Arial" w:hAnsi="Arial"/>
          <w:sz w:val="22"/>
          <w:szCs w:val="22"/>
        </w:rPr>
        <w:t> (L5) zugeordnet.</w:t>
      </w:r>
    </w:p>
    <w:p w:rsidR="005D1D51" w:rsidRPr="005D1D51" w:rsidRDefault="005D1D51" w:rsidP="005D1D51">
      <w:pPr>
        <w:jc w:val="both"/>
        <w:rPr>
          <w:rFonts w:ascii="Arial" w:hAnsi="Arial"/>
          <w:sz w:val="22"/>
          <w:szCs w:val="22"/>
        </w:rPr>
      </w:pPr>
    </w:p>
    <w:p w:rsidR="005D1D51" w:rsidRPr="005D1D51" w:rsidRDefault="005D1D51" w:rsidP="005D1D51">
      <w:pPr>
        <w:jc w:val="both"/>
        <w:rPr>
          <w:rFonts w:ascii="Arial" w:hAnsi="Arial"/>
          <w:sz w:val="22"/>
          <w:szCs w:val="22"/>
        </w:rPr>
      </w:pPr>
      <w:r w:rsidRPr="005D1D51">
        <w:rPr>
          <w:rFonts w:ascii="Arial" w:hAnsi="Arial"/>
          <w:sz w:val="22"/>
          <w:szCs w:val="22"/>
        </w:rPr>
        <w:t xml:space="preserve">Für Schülerinnen und Schüler ungewöhnlich ist an der Aufgabe, dass keine konkreten Anzahlen von Kugeln genannt werden. Die Schülerinnen und Schüler benötigen zur Lösung eine geeignete Strategie. Die Aufgabe erfordert deshalb Kompetenzen im Bereich </w:t>
      </w:r>
      <w:r w:rsidRPr="005D1D51">
        <w:rPr>
          <w:rFonts w:ascii="Arial" w:hAnsi="Arial"/>
          <w:i/>
          <w:sz w:val="22"/>
          <w:szCs w:val="22"/>
        </w:rPr>
        <w:t>Probleme mathematisch lösen</w:t>
      </w:r>
      <w:r w:rsidRPr="005D1D51">
        <w:rPr>
          <w:rFonts w:ascii="Arial" w:hAnsi="Arial"/>
          <w:sz w:val="22"/>
          <w:szCs w:val="22"/>
        </w:rPr>
        <w:t> (K2).</w:t>
      </w:r>
    </w:p>
    <w:p w:rsidR="005D1D51" w:rsidRPr="005D1D51" w:rsidRDefault="005D1D51" w:rsidP="005D1D51">
      <w:pPr>
        <w:jc w:val="both"/>
        <w:rPr>
          <w:rFonts w:ascii="Arial" w:hAnsi="Arial"/>
          <w:sz w:val="22"/>
          <w:szCs w:val="22"/>
        </w:rPr>
      </w:pPr>
    </w:p>
    <w:p w:rsidR="005D1D51" w:rsidRPr="005D1D51" w:rsidRDefault="005D1D51" w:rsidP="005D1D51">
      <w:pPr>
        <w:jc w:val="both"/>
        <w:rPr>
          <w:rFonts w:ascii="Arial" w:hAnsi="Arial"/>
          <w:sz w:val="22"/>
          <w:szCs w:val="22"/>
        </w:rPr>
      </w:pPr>
      <w:r w:rsidRPr="005D1D51">
        <w:rPr>
          <w:rFonts w:ascii="Arial" w:hAnsi="Arial"/>
          <w:sz w:val="22"/>
          <w:szCs w:val="22"/>
        </w:rPr>
        <w:t>Da bei der Bearbeitung der Problemstellung durchgängig über Anteile von Kugeln operiert werden muss und die verwendete Lösungsidee auf andere Mischungsverhältnisse im Urnenmodell und auf eine Vielzahl von (auch außermathematischen) Situationen übertragen werden kann, ist die Aufgabe „Kugeln ziehen“ dem Anforderungsbereich III zugeordnet.</w:t>
      </w:r>
    </w:p>
    <w:p w:rsidR="00694A63" w:rsidRPr="00694A63" w:rsidRDefault="00694A63" w:rsidP="00694A63">
      <w:pPr>
        <w:pStyle w:val="IQB-Teilaufgabentitel"/>
        <w:rPr>
          <w:b/>
        </w:rPr>
      </w:pPr>
      <w:r w:rsidRPr="00694A63">
        <w:rPr>
          <w:b/>
        </w:rPr>
        <w:t>Anregungen für den Unterricht</w:t>
      </w:r>
    </w:p>
    <w:p w:rsidR="005D1D51" w:rsidRPr="005D1D51" w:rsidRDefault="005D1D51" w:rsidP="005D1D51">
      <w:pPr>
        <w:jc w:val="both"/>
        <w:rPr>
          <w:rFonts w:ascii="Arial" w:hAnsi="Arial"/>
          <w:sz w:val="22"/>
          <w:szCs w:val="22"/>
        </w:rPr>
      </w:pPr>
      <w:r w:rsidRPr="005D1D51">
        <w:rPr>
          <w:rFonts w:ascii="Arial" w:hAnsi="Arial"/>
          <w:sz w:val="22"/>
          <w:szCs w:val="22"/>
        </w:rPr>
        <w:t xml:space="preserve">Diese Aufgabe bietet Anlass dazu unterschiedliche heuristische Strategien zur Anwendung zu bringen. So kann die Aufgabe „Kugeln ziehen“ z. B. durch die Strategie „Rückwärtsarbeiten“ gelöst werden. Dabei geht man vom gesuchten Zustand zu den Bedingungen, unter denen dieser hervortritt. </w:t>
      </w:r>
      <w:proofErr w:type="spellStart"/>
      <w:r w:rsidRPr="005D1D51">
        <w:rPr>
          <w:rFonts w:ascii="Arial" w:hAnsi="Arial"/>
          <w:sz w:val="22"/>
          <w:szCs w:val="22"/>
        </w:rPr>
        <w:t>Polya</w:t>
      </w:r>
      <w:proofErr w:type="spellEnd"/>
      <w:r w:rsidRPr="005D1D51">
        <w:rPr>
          <w:rFonts w:ascii="Arial" w:hAnsi="Arial"/>
          <w:sz w:val="22"/>
          <w:szCs w:val="22"/>
        </w:rPr>
        <w:t xml:space="preserve"> (1994: 204) formuliert dies so: „Wir konzentrieren uns auf das gewünschte Ziel und fassen die Endlage, in der wir uns befinden möchten, fest ins Auge. Von welcher vorhergehenden Lage können wir dorthin gelangen? Es ist ganz natürlich, diese Frage zu stellen, und indem wir so fragen, arbeiten wir rückwärts.“ In unserem konkreten Beispiel bedeutet das, dass man zunächst von der Wahrscheinlichkeit von 20</w:t>
      </w:r>
      <w:r w:rsidRPr="005D1D51">
        <w:rPr>
          <w:rFonts w:ascii="Arial" w:hAnsi="Arial"/>
          <w:w w:val="50"/>
          <w:sz w:val="22"/>
          <w:szCs w:val="22"/>
        </w:rPr>
        <w:t> </w:t>
      </w:r>
      <w:r w:rsidRPr="005D1D51">
        <w:rPr>
          <w:rFonts w:ascii="Arial" w:hAnsi="Arial"/>
          <w:sz w:val="22"/>
          <w:szCs w:val="22"/>
        </w:rPr>
        <w:t>% für das Ziehen einer roten Kugel ausgeht. Man überlegt sich dann, dass also 1 Teil rote Kugeln im Gefäß sind und 4 Teile mit anderen Kugeln. Von diesen 4 Teilen ist 1 Teil blau, da gleichviele blaue und rote Kugeln im Gefäß sind. Es bleiben also noch 3 Teile gelbe Kugeln übrig.</w:t>
      </w:r>
    </w:p>
    <w:p w:rsidR="005D1D51" w:rsidRPr="005D1D51" w:rsidRDefault="005D1D51" w:rsidP="005D1D51">
      <w:pPr>
        <w:jc w:val="both"/>
        <w:rPr>
          <w:rFonts w:ascii="Arial" w:hAnsi="Arial"/>
          <w:sz w:val="22"/>
          <w:szCs w:val="22"/>
        </w:rPr>
      </w:pPr>
    </w:p>
    <w:p w:rsidR="005D1D51" w:rsidRPr="005D1D51" w:rsidRDefault="005D1D51" w:rsidP="005D1D51">
      <w:pPr>
        <w:jc w:val="both"/>
        <w:rPr>
          <w:rFonts w:ascii="Arial" w:hAnsi="Arial"/>
          <w:sz w:val="22"/>
          <w:szCs w:val="22"/>
        </w:rPr>
      </w:pPr>
      <w:r w:rsidRPr="005D1D51">
        <w:rPr>
          <w:rFonts w:ascii="Arial" w:hAnsi="Arial"/>
          <w:sz w:val="22"/>
          <w:szCs w:val="22"/>
        </w:rPr>
        <w:t>Zur Lösung der Aufgabe kann außerdem die heuristische Strategie „systematisches Probieren“ angewandt werden. Dazu startet man mit der Annahme, dass zunächst genauso viele gelbe und rote Kugeln im Gefäß sind und bestimmt dafür die Wahrscheinlichkeit eine rote Kugel zu ziehen. Anschließend geht man davon aus, dass doppelt so viele gelbe wie rote Kugeln im Gefäß sind und ermittelt erneut die Wahrscheinlichkeit für eine rote Kugel. Dieses systematische Probieren kommt zum Ende, wenn die gewünschte Wahrscheinlichkeit von 20</w:t>
      </w:r>
      <w:r w:rsidRPr="005D1D51">
        <w:rPr>
          <w:rFonts w:ascii="Arial" w:hAnsi="Arial"/>
          <w:w w:val="50"/>
          <w:sz w:val="22"/>
          <w:szCs w:val="22"/>
        </w:rPr>
        <w:t> </w:t>
      </w:r>
      <w:r w:rsidRPr="005D1D51">
        <w:rPr>
          <w:rFonts w:ascii="Arial" w:hAnsi="Arial"/>
          <w:sz w:val="22"/>
          <w:szCs w:val="22"/>
        </w:rPr>
        <w:t xml:space="preserve">% erreicht ist. Im Unterricht kann diese heuristische Strategie in verschiedenen Zusammenhängen genutzt werden. Im Sinne eines langfristigen Kompetenzaufbaus und der Vermittlung metakognitiven Wissens wäre es wünschenswert, das systematische Probieren in unterschiedlichen Schulstufen und bei unterschiedlichen thematischen Schwerpunkten zur Anwendung zu bringen. Hier wurde ein Beispiel aus der Wahrscheinlichkeitsrechnung genannt. Beim Lösen von Gleichungen kann das systematische Probieren als „Handwerkermethode“ ebenfalls eingesetzt werden. Es eignet sich dann z. B. dafür, um prinzipiell zu veranschaulichen, wie numerische Lösungsverfahren funktionieren, die von Taschenrechnern oder von Computeranwendungen zur Lösung von Gleichungen verwendet werden. Kombinatorische Fragestellungen (in den Bildungsstandards der Leitidee </w:t>
      </w:r>
      <w:r w:rsidRPr="005D1D51">
        <w:rPr>
          <w:rFonts w:ascii="Arial" w:hAnsi="Arial"/>
          <w:i/>
          <w:sz w:val="22"/>
          <w:szCs w:val="22"/>
        </w:rPr>
        <w:t>Zahl</w:t>
      </w:r>
      <w:r w:rsidRPr="005D1D51">
        <w:rPr>
          <w:rFonts w:ascii="Arial" w:hAnsi="Arial"/>
          <w:sz w:val="22"/>
          <w:szCs w:val="22"/>
        </w:rPr>
        <w:t xml:space="preserve"> (L1) zugeordnet) bieten oftmals eine ebenso gute Gelegenheit die Strategie des systematischen Probierens anzuwenden. Ebenso denkbar ist die </w:t>
      </w:r>
      <w:proofErr w:type="gramStart"/>
      <w:r w:rsidRPr="005D1D51">
        <w:rPr>
          <w:rFonts w:ascii="Arial" w:hAnsi="Arial"/>
          <w:sz w:val="22"/>
          <w:szCs w:val="22"/>
        </w:rPr>
        <w:t>Strategie</w:t>
      </w:r>
      <w:proofErr w:type="gramEnd"/>
      <w:r w:rsidRPr="005D1D51">
        <w:rPr>
          <w:rFonts w:ascii="Arial" w:hAnsi="Arial"/>
          <w:sz w:val="22"/>
          <w:szCs w:val="22"/>
        </w:rPr>
        <w:t xml:space="preserve"> wenn es darum geht, geometrische Probleme zu lösen. </w:t>
      </w:r>
    </w:p>
    <w:p w:rsidR="005D1D51" w:rsidRPr="005D1D51" w:rsidRDefault="005D1D51" w:rsidP="005D1D51">
      <w:pPr>
        <w:jc w:val="both"/>
        <w:rPr>
          <w:rFonts w:ascii="Arial" w:hAnsi="Arial"/>
          <w:sz w:val="22"/>
          <w:szCs w:val="22"/>
        </w:rPr>
      </w:pPr>
    </w:p>
    <w:p w:rsidR="005D1D51" w:rsidRPr="005D1D51" w:rsidRDefault="005D1D51" w:rsidP="005D1D51">
      <w:pPr>
        <w:jc w:val="both"/>
        <w:rPr>
          <w:rFonts w:ascii="Arial" w:hAnsi="Arial"/>
          <w:sz w:val="22"/>
          <w:szCs w:val="22"/>
        </w:rPr>
      </w:pPr>
      <w:r w:rsidRPr="005D1D51">
        <w:rPr>
          <w:rFonts w:ascii="Arial" w:hAnsi="Arial"/>
          <w:sz w:val="22"/>
          <w:szCs w:val="22"/>
        </w:rPr>
        <w:t>Die Aufgabe „Kugeln ziehen“ kann außerdem dazu genutzt werden, eine weitere heuristische Strategie zu illustrieren: die Strategie „Vorwärtsarbeiten“. Hierzu überlegt man zunächst, welche Wahrscheinlichkeit sich für rot ergeben würde, wenn genau einmal so viele gelbe Kugeln wie rote hinzugefügt werden, nämlich ein Drittel. Dann wird dieselbe Überlegung mit zweimal so vielen gelben wie roten Kugeln angestellt und man erhält die Wahrscheinlichkeit von ein Viertel. Im nächsten Schritt gelangt man dann zur Wahrscheinlichkeit ein Fünftel, was der gesuchten Wahrscheinlichkeit entspricht. Die Strategie „Vorwärtsarbeiten“ eignet sich vor allem gut zur Einführung eines neuen Sachverhalts. Schülerinnen und Schülern würde gemäß dieser Strategie zunächst der Aufgabentext ohne die Fragestellung präsentiert. Alsdann sind sie aufgefordert auf die allgemeinen Fragen „Was ist gegeben?“, „Was weiß ich über das Gegebene?“ und „Was kann ich daraus ermitteln?“ zu antworten. Auf diese Weise kann Vorwissen von Schülerinnen und Schülern aktiviert und Aufgaben geöffnet werden. Auf der Internetseite des Programms SINUS-Transfer (http://www. sinus-transfer.de) zur Steigerung der Effizienz des mathematisch-naturwissenschaftlichen Unterrichts finden sich unterschiedliche Module zur Unterrichtsentwicklung. Modul 9 („Verantwortung für das eigene Lernen stärken“) widmet sich unter anderem dem Problemlösen. Man findet dort Anregungen für den Unterricht, um die hier angesprochenen heuristischen Strategien zu vertiefen.</w:t>
      </w:r>
    </w:p>
    <w:p w:rsidR="00694A63" w:rsidRPr="005B2F65" w:rsidRDefault="00694A63" w:rsidP="005D1D51">
      <w:pPr>
        <w:jc w:val="both"/>
        <w:rPr>
          <w:sz w:val="22"/>
          <w:szCs w:val="22"/>
        </w:rPr>
      </w:pPr>
      <w:bookmarkStart w:id="0" w:name="_GoBack"/>
      <w:bookmarkEnd w:id="0"/>
    </w:p>
    <w:sectPr w:rsidR="00694A63" w:rsidRPr="005B2F65" w:rsidSect="00DB65DC">
      <w:headerReference w:type="even" r:id="rId8"/>
      <w:headerReference w:type="default" r:id="rId9"/>
      <w:footerReference w:type="even" r:id="rId10"/>
      <w:footerReference w:type="default" r:id="rId11"/>
      <w:headerReference w:type="first" r:id="rId12"/>
      <w:footerReference w:type="first" r:id="rId13"/>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shelf Symbol 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embedRegular r:id="rId1" w:fontKey="{1FADD376-19EC-46F7-A7A8-A2BF9C42DB2F}"/>
    <w:embedBold r:id="rId2" w:fontKey="{663F4468-6D1C-47F0-B305-074263527D8E}"/>
    <w:embedItalic r:id="rId3" w:fontKey="{16CDC5C0-8B1F-482B-B40E-9C12F70A622C}"/>
    <w:embedBoldItalic r:id="rId4" w:fontKey="{03834C75-10BB-46B2-AD5A-00CB8A72F758}"/>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7" name="Grafik 7"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0FDD437E"/>
    <w:multiLevelType w:val="hybridMultilevel"/>
    <w:tmpl w:val="1FE856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BAF4E41"/>
    <w:multiLevelType w:val="multilevel"/>
    <w:tmpl w:val="AFEA5452"/>
    <w:lvl w:ilvl="0">
      <w:start w:val="1"/>
      <w:numFmt w:val="bullet"/>
      <w:lvlText w:val=""/>
      <w:lvlJc w:val="left"/>
      <w:pPr>
        <w:ind w:left="720" w:hanging="360"/>
      </w:pPr>
      <w:rPr>
        <w:rFonts w:ascii="Symbol" w:hAnsi="Symbol" w:cs="Bookshelf Symbol 7" w:hint="default"/>
      </w:rPr>
    </w:lvl>
    <w:lvl w:ilvl="1">
      <w:start w:val="1"/>
      <w:numFmt w:val="bullet"/>
      <w:lvlText w:val="o"/>
      <w:lvlJc w:val="left"/>
      <w:pPr>
        <w:ind w:left="1440" w:hanging="360"/>
      </w:pPr>
      <w:rPr>
        <w:rFonts w:ascii="Courier New" w:hAnsi="Courier New" w:cs="Calibri" w:hint="default"/>
      </w:rPr>
    </w:lvl>
    <w:lvl w:ilvl="2">
      <w:start w:val="1"/>
      <w:numFmt w:val="bullet"/>
      <w:lvlText w:val=""/>
      <w:lvlJc w:val="left"/>
      <w:pPr>
        <w:ind w:left="2160" w:hanging="360"/>
      </w:pPr>
      <w:rPr>
        <w:rFonts w:ascii="Wingdings" w:hAnsi="Wingdings" w:cs="Bookshelf Symbol 7" w:hint="default"/>
      </w:rPr>
    </w:lvl>
    <w:lvl w:ilvl="3">
      <w:start w:val="1"/>
      <w:numFmt w:val="bullet"/>
      <w:lvlText w:val=""/>
      <w:lvlJc w:val="left"/>
      <w:pPr>
        <w:ind w:left="2880" w:hanging="360"/>
      </w:pPr>
      <w:rPr>
        <w:rFonts w:ascii="Symbol" w:hAnsi="Symbol" w:cs="Bookshelf Symbol 7" w:hint="default"/>
      </w:rPr>
    </w:lvl>
    <w:lvl w:ilvl="4">
      <w:start w:val="1"/>
      <w:numFmt w:val="bullet"/>
      <w:lvlText w:val="o"/>
      <w:lvlJc w:val="left"/>
      <w:pPr>
        <w:ind w:left="3600" w:hanging="360"/>
      </w:pPr>
      <w:rPr>
        <w:rFonts w:ascii="Courier New" w:hAnsi="Courier New" w:cs="Calibri" w:hint="default"/>
      </w:rPr>
    </w:lvl>
    <w:lvl w:ilvl="5">
      <w:start w:val="1"/>
      <w:numFmt w:val="bullet"/>
      <w:lvlText w:val=""/>
      <w:lvlJc w:val="left"/>
      <w:pPr>
        <w:ind w:left="4320" w:hanging="360"/>
      </w:pPr>
      <w:rPr>
        <w:rFonts w:ascii="Wingdings" w:hAnsi="Wingdings" w:cs="Bookshelf Symbol 7" w:hint="default"/>
      </w:rPr>
    </w:lvl>
    <w:lvl w:ilvl="6">
      <w:start w:val="1"/>
      <w:numFmt w:val="bullet"/>
      <w:lvlText w:val=""/>
      <w:lvlJc w:val="left"/>
      <w:pPr>
        <w:ind w:left="5040" w:hanging="360"/>
      </w:pPr>
      <w:rPr>
        <w:rFonts w:ascii="Symbol" w:hAnsi="Symbol" w:cs="Bookshelf Symbol 7" w:hint="default"/>
      </w:rPr>
    </w:lvl>
    <w:lvl w:ilvl="7">
      <w:start w:val="1"/>
      <w:numFmt w:val="bullet"/>
      <w:lvlText w:val="o"/>
      <w:lvlJc w:val="left"/>
      <w:pPr>
        <w:ind w:left="5760" w:hanging="360"/>
      </w:pPr>
      <w:rPr>
        <w:rFonts w:ascii="Courier New" w:hAnsi="Courier New" w:cs="Calibri" w:hint="default"/>
      </w:rPr>
    </w:lvl>
    <w:lvl w:ilvl="8">
      <w:start w:val="1"/>
      <w:numFmt w:val="bullet"/>
      <w:lvlText w:val=""/>
      <w:lvlJc w:val="left"/>
      <w:pPr>
        <w:ind w:left="6480" w:hanging="360"/>
      </w:pPr>
      <w:rPr>
        <w:rFonts w:ascii="Wingdings" w:hAnsi="Wingdings" w:cs="Bookshelf Symbol 7" w:hint="default"/>
      </w:rPr>
    </w:lvl>
  </w:abstractNum>
  <w:abstractNum w:abstractNumId="3"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4" w15:restartNumberingAfterBreak="0">
    <w:nsid w:val="24B731FC"/>
    <w:multiLevelType w:val="hybridMultilevel"/>
    <w:tmpl w:val="06C63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5F01A19"/>
    <w:multiLevelType w:val="hybridMultilevel"/>
    <w:tmpl w:val="6908D5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alibri"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alibri"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alibri"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61B2172"/>
    <w:multiLevelType w:val="hybridMultilevel"/>
    <w:tmpl w:val="90940226"/>
    <w:lvl w:ilvl="0" w:tplc="04070015">
      <w:start w:val="1"/>
      <w:numFmt w:val="decimal"/>
      <w:lvlText w:val="(%1)"/>
      <w:lvlJc w:val="left"/>
      <w:pPr>
        <w:ind w:left="720" w:hanging="360"/>
      </w:pPr>
      <w:rPr>
        <w:rFonts w:cs="Times New Roman"/>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7"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CA03909"/>
    <w:multiLevelType w:val="hybridMultilevel"/>
    <w:tmpl w:val="A932818E"/>
    <w:lvl w:ilvl="0" w:tplc="826024DC">
      <w:start w:val="1"/>
      <w:numFmt w:val="lowerLetter"/>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9" w15:restartNumberingAfterBreak="0">
    <w:nsid w:val="40013193"/>
    <w:multiLevelType w:val="hybridMultilevel"/>
    <w:tmpl w:val="21BC81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3"/>
  </w:num>
  <w:num w:numId="3">
    <w:abstractNumId w:val="0"/>
  </w:num>
  <w:num w:numId="4">
    <w:abstractNumId w:val="11"/>
  </w:num>
  <w:num w:numId="5">
    <w:abstractNumId w:val="7"/>
  </w:num>
  <w:num w:numId="6">
    <w:abstractNumId w:val="9"/>
  </w:num>
  <w:num w:numId="7">
    <w:abstractNumId w:val="4"/>
  </w:num>
  <w:num w:numId="8">
    <w:abstractNumId w:val="1"/>
  </w:num>
  <w:num w:numId="9">
    <w:abstractNumId w:val="6"/>
  </w:num>
  <w:num w:numId="10">
    <w:abstractNumId w:val="8"/>
  </w:num>
  <w:num w:numId="11">
    <w:abstractNumId w:val="2"/>
  </w:num>
  <w:num w:numId="1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1044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671D"/>
    <w:rsid w:val="00220FFD"/>
    <w:rsid w:val="002265B7"/>
    <w:rsid w:val="00226C04"/>
    <w:rsid w:val="00255EFD"/>
    <w:rsid w:val="0026784F"/>
    <w:rsid w:val="00274614"/>
    <w:rsid w:val="00296BA4"/>
    <w:rsid w:val="002D1B6E"/>
    <w:rsid w:val="002F756E"/>
    <w:rsid w:val="00304067"/>
    <w:rsid w:val="00304DCD"/>
    <w:rsid w:val="003375B2"/>
    <w:rsid w:val="00374ED9"/>
    <w:rsid w:val="003A1C8B"/>
    <w:rsid w:val="003A496B"/>
    <w:rsid w:val="003C0E87"/>
    <w:rsid w:val="003C7D61"/>
    <w:rsid w:val="003D7948"/>
    <w:rsid w:val="003F0014"/>
    <w:rsid w:val="003F7333"/>
    <w:rsid w:val="00453A6F"/>
    <w:rsid w:val="004B42DE"/>
    <w:rsid w:val="004B54F7"/>
    <w:rsid w:val="004D1D47"/>
    <w:rsid w:val="004D1DCE"/>
    <w:rsid w:val="004F70C4"/>
    <w:rsid w:val="00503B50"/>
    <w:rsid w:val="005222AD"/>
    <w:rsid w:val="0053290E"/>
    <w:rsid w:val="00540637"/>
    <w:rsid w:val="00566351"/>
    <w:rsid w:val="00590300"/>
    <w:rsid w:val="005967F1"/>
    <w:rsid w:val="005B26C9"/>
    <w:rsid w:val="005B2F65"/>
    <w:rsid w:val="005D1D51"/>
    <w:rsid w:val="005E2C46"/>
    <w:rsid w:val="005F046F"/>
    <w:rsid w:val="005F3A9E"/>
    <w:rsid w:val="005F4824"/>
    <w:rsid w:val="00606926"/>
    <w:rsid w:val="0061709D"/>
    <w:rsid w:val="00666933"/>
    <w:rsid w:val="00685869"/>
    <w:rsid w:val="00691281"/>
    <w:rsid w:val="00692E69"/>
    <w:rsid w:val="00694A63"/>
    <w:rsid w:val="006973CB"/>
    <w:rsid w:val="00753D68"/>
    <w:rsid w:val="007569FC"/>
    <w:rsid w:val="00756CB3"/>
    <w:rsid w:val="00790FB0"/>
    <w:rsid w:val="007C729F"/>
    <w:rsid w:val="007D4262"/>
    <w:rsid w:val="007E1237"/>
    <w:rsid w:val="007E6CC0"/>
    <w:rsid w:val="007E6EB0"/>
    <w:rsid w:val="00806273"/>
    <w:rsid w:val="008173A3"/>
    <w:rsid w:val="00830641"/>
    <w:rsid w:val="008336E4"/>
    <w:rsid w:val="00837274"/>
    <w:rsid w:val="0083794F"/>
    <w:rsid w:val="00861043"/>
    <w:rsid w:val="00871097"/>
    <w:rsid w:val="00883561"/>
    <w:rsid w:val="0088770C"/>
    <w:rsid w:val="008A2154"/>
    <w:rsid w:val="008B3D42"/>
    <w:rsid w:val="008C1B41"/>
    <w:rsid w:val="008C1EC7"/>
    <w:rsid w:val="009608A6"/>
    <w:rsid w:val="00983D6E"/>
    <w:rsid w:val="009A0AD0"/>
    <w:rsid w:val="009A16E7"/>
    <w:rsid w:val="009A2EFF"/>
    <w:rsid w:val="009A48E1"/>
    <w:rsid w:val="009C235D"/>
    <w:rsid w:val="009C47FB"/>
    <w:rsid w:val="009D21A1"/>
    <w:rsid w:val="009E39E2"/>
    <w:rsid w:val="00A13FB9"/>
    <w:rsid w:val="00A20151"/>
    <w:rsid w:val="00A2321C"/>
    <w:rsid w:val="00A25A42"/>
    <w:rsid w:val="00A47EC4"/>
    <w:rsid w:val="00A5510B"/>
    <w:rsid w:val="00A95DDE"/>
    <w:rsid w:val="00AD2D34"/>
    <w:rsid w:val="00B5462C"/>
    <w:rsid w:val="00B8136A"/>
    <w:rsid w:val="00BC76A7"/>
    <w:rsid w:val="00BE7001"/>
    <w:rsid w:val="00C14B64"/>
    <w:rsid w:val="00C1611A"/>
    <w:rsid w:val="00C2374F"/>
    <w:rsid w:val="00C2385F"/>
    <w:rsid w:val="00C630C9"/>
    <w:rsid w:val="00C74A96"/>
    <w:rsid w:val="00C77D05"/>
    <w:rsid w:val="00C97AB9"/>
    <w:rsid w:val="00CA6E18"/>
    <w:rsid w:val="00CB3553"/>
    <w:rsid w:val="00CC0D5C"/>
    <w:rsid w:val="00CF32DF"/>
    <w:rsid w:val="00D44C7A"/>
    <w:rsid w:val="00D462AA"/>
    <w:rsid w:val="00D57617"/>
    <w:rsid w:val="00D67EE8"/>
    <w:rsid w:val="00D72D72"/>
    <w:rsid w:val="00D94169"/>
    <w:rsid w:val="00DA5629"/>
    <w:rsid w:val="00DB65DC"/>
    <w:rsid w:val="00DD3C5F"/>
    <w:rsid w:val="00DE1076"/>
    <w:rsid w:val="00DE3D52"/>
    <w:rsid w:val="00DF532B"/>
    <w:rsid w:val="00EA71E2"/>
    <w:rsid w:val="00EC34A6"/>
    <w:rsid w:val="00ED2D11"/>
    <w:rsid w:val="00F0154F"/>
    <w:rsid w:val="00F42719"/>
    <w:rsid w:val="00F63DBE"/>
    <w:rsid w:val="00F64050"/>
    <w:rsid w:val="00F764C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4449"/>
    <o:shapelayout v:ext="edit">
      <o:idmap v:ext="edit" data="1"/>
    </o:shapelayout>
  </w:shapeDefaults>
  <w:decimalSymbol w:val=","/>
  <w:listSeparator w:val=";"/>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paragraph" w:styleId="berschrift5">
    <w:name w:val="heading 5"/>
    <w:basedOn w:val="Standard"/>
    <w:next w:val="Standard"/>
    <w:link w:val="berschrift5Zchn"/>
    <w:semiHidden/>
    <w:unhideWhenUsed/>
    <w:qFormat/>
    <w:rsid w:val="00C77D05"/>
    <w:pPr>
      <w:keepNext/>
      <w:keepLines/>
      <w:spacing w:before="40"/>
      <w:outlineLvl w:val="4"/>
    </w:pPr>
    <w:rPr>
      <w:rFonts w:asciiTheme="majorHAnsi" w:eastAsiaTheme="majorEastAsia" w:hAnsiTheme="majorHAnsi" w:cstheme="majorBidi"/>
      <w:color w:val="365F91"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link w:val="IQB-AnweisungenTextZchn"/>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34"/>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 w:type="paragraph" w:customStyle="1" w:styleId="Listenabsatz2">
    <w:name w:val="Listenabsatz2"/>
    <w:basedOn w:val="Standard"/>
    <w:rsid w:val="00220FFD"/>
    <w:pPr>
      <w:ind w:left="720"/>
      <w:contextualSpacing/>
    </w:pPr>
    <w:rPr>
      <w:rFonts w:ascii="Arial" w:hAnsi="Arial"/>
      <w:sz w:val="18"/>
    </w:rPr>
  </w:style>
  <w:style w:type="paragraph" w:styleId="Beschriftung">
    <w:name w:val="caption"/>
    <w:basedOn w:val="Standard"/>
    <w:next w:val="Standard"/>
    <w:uiPriority w:val="35"/>
    <w:qFormat/>
    <w:rsid w:val="00C1611A"/>
    <w:rPr>
      <w:rFonts w:ascii="Arial" w:hAnsi="Arial"/>
      <w:b/>
      <w:bCs/>
      <w:sz w:val="20"/>
      <w:szCs w:val="20"/>
    </w:rPr>
  </w:style>
  <w:style w:type="paragraph" w:customStyle="1" w:styleId="FormatvorlageFlietextBlockLinks0cmHngend15cm">
    <w:name w:val="Formatvorlage Fließtext + Block Links:  0 cm Hängend:  15 cm"/>
    <w:basedOn w:val="Flietext"/>
    <w:rsid w:val="00DD3C5F"/>
    <w:pPr>
      <w:ind w:left="851" w:hanging="851"/>
    </w:pPr>
    <w:rPr>
      <w:szCs w:val="20"/>
    </w:rPr>
  </w:style>
  <w:style w:type="character" w:customStyle="1" w:styleId="berschrift5Zchn">
    <w:name w:val="Überschrift 5 Zchn"/>
    <w:basedOn w:val="Absatz-Standardschriftart"/>
    <w:link w:val="berschrift5"/>
    <w:semiHidden/>
    <w:rsid w:val="00C77D05"/>
    <w:rPr>
      <w:rFonts w:asciiTheme="majorHAnsi" w:eastAsiaTheme="majorEastAsia" w:hAnsiTheme="majorHAnsi" w:cstheme="majorBidi"/>
      <w:color w:val="365F91" w:themeColor="accent1" w:themeShade="BF"/>
      <w:sz w:val="24"/>
      <w:szCs w:val="24"/>
    </w:rPr>
  </w:style>
  <w:style w:type="character" w:customStyle="1" w:styleId="IQB-AnweisungenTextZchn">
    <w:name w:val="IQB-Anweisungen Text Zchn"/>
    <w:link w:val="IQB-AnweisungenText"/>
    <w:rsid w:val="00AD2D34"/>
    <w:rPr>
      <w:rFonts w:asciiTheme="minorHAnsi" w:hAnsiTheme="minorHAnsi" w:cs="Arial"/>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160374E-2009-4100-9812-D269463D03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679</Words>
  <Characters>4387</Characters>
  <Application>Microsoft Office Word</Application>
  <DocSecurity>0</DocSecurity>
  <Lines>102</Lines>
  <Paragraphs>58</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5008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2025-07-24T08:03:00Z</dcterms:created>
  <dcterms:modified xsi:type="dcterms:W3CDTF">2025-07-24T08:03:00Z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